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NESCO Board Agenda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May 28, 2013, 6:30 PM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Legacy Center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Call to Order – 6:30pm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Attendance/Introductions (10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Board Business:  (15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Approval of April 2013 Minutes (please review them)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Treasurers Report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Presidential Report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Updates and Call to Action: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Neighborhood Summit “Better Block Indy East Washington” – Megan Fetter (10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NESCO Olympics – Tommy Reddicks (10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Feast of Lanterns – Melissa Benton (10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Guests: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John Hay, I AD Director Introduction/Neighborhood Assessment Blitz (10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  <w:r>
        <w:rPr>
          <w:rFonts w:ascii="ArialMT" w:cs="ArialMT" w:eastAsia="ArialMT" w:hAnsi="ArialMT"/>
          <w:color w:val="auto"/>
          <w:sz w:val="24"/>
          <w:szCs w:val="24"/>
        </w:rPr>
        <w:t>- Laurie Klinger, NOBO - Net Zero Solar Field Introduction – (10 min)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 </w:t>
      </w:r>
    </w:p>
    <w:p>
      <w:pPr>
        <w:pStyle w:val="style0"/>
        <w:autoSpaceDE w:val="false"/>
      </w:pPr>
      <w:r>
        <w:rPr>
          <w:rFonts w:ascii="ArialMT" w:cs="ArialMT" w:eastAsia="ArialMT" w:hAnsi="ArialMT"/>
          <w:color w:val="auto"/>
          <w:sz w:val="24"/>
          <w:szCs w:val="24"/>
        </w:rPr>
        <w:t>Adjournment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2013-05-28T18:48:26.00Z</dcterms:created>
  <cp:revision>0</cp:revision>
</cp:coreProperties>
</file>